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CC" w:rsidRDefault="000657C2">
      <w:pPr>
        <w:pStyle w:val="BodyA"/>
        <w:ind w:left="7920"/>
        <w:jc w:val="right"/>
      </w:pPr>
      <w:r>
        <w:t xml:space="preserve">Approved:           /          / </w:t>
      </w:r>
    </w:p>
    <w:p w:rsidR="003E64CC" w:rsidRDefault="003E64CC">
      <w:pPr>
        <w:pStyle w:val="BodyA"/>
        <w:jc w:val="right"/>
        <w:rPr>
          <w:sz w:val="40"/>
          <w:szCs w:val="40"/>
        </w:rPr>
      </w:pPr>
    </w:p>
    <w:p w:rsidR="003E64CC" w:rsidRDefault="000657C2">
      <w:pPr>
        <w:pStyle w:val="BodyA"/>
        <w:jc w:val="center"/>
        <w:rPr>
          <w:sz w:val="40"/>
          <w:szCs w:val="40"/>
        </w:rPr>
      </w:pPr>
      <w:r>
        <w:rPr>
          <w:sz w:val="40"/>
          <w:szCs w:val="40"/>
        </w:rPr>
        <w:t>TOWN OF WINCHENDON</w:t>
      </w:r>
    </w:p>
    <w:p w:rsidR="003E64CC" w:rsidRDefault="003E64CC">
      <w:pPr>
        <w:pStyle w:val="BodyA"/>
      </w:pPr>
    </w:p>
    <w:p w:rsidR="003E64CC" w:rsidRDefault="000657C2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  <w:lang w:val="fr-FR"/>
        </w:rPr>
        <w:t>Conservation Commission</w:t>
      </w:r>
      <w:r>
        <w:tab/>
        <w:t xml:space="preserve"> </w:t>
      </w:r>
      <w:r>
        <w:tab/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28700" cy="1028700"/>
            <wp:effectExtent l="0" t="0" r="0" b="0"/>
            <wp:docPr id="1073741825" name="officeArt object" descr="mage result for town of winchendon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e result for town of winchendon seal" descr="mage result for town of winchendon seal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lang w:val="it-IT"/>
        </w:rPr>
        <w:t>Telephone (978)-297-5402</w:t>
      </w:r>
    </w:p>
    <w:p w:rsidR="003E64CC" w:rsidRDefault="000657C2">
      <w:pPr>
        <w:pStyle w:val="BodyA"/>
        <w:jc w:val="center"/>
        <w:rPr>
          <w:b/>
          <w:bCs/>
        </w:rPr>
      </w:pPr>
      <w:r>
        <w:rPr>
          <w:b/>
          <w:bCs/>
        </w:rPr>
        <w:t>Regular Meeting/Public Hearing</w:t>
      </w:r>
    </w:p>
    <w:p w:rsidR="003E64CC" w:rsidRDefault="000657C2">
      <w:pPr>
        <w:pStyle w:val="BodyA"/>
        <w:jc w:val="center"/>
      </w:pPr>
      <w:r>
        <w:t>January 12, 2023</w:t>
      </w:r>
    </w:p>
    <w:p w:rsidR="003E64CC" w:rsidRDefault="000657C2">
      <w:pPr>
        <w:pStyle w:val="BodyA"/>
        <w:jc w:val="center"/>
      </w:pPr>
      <w:r>
        <w:t>Town Hall 2</w:t>
      </w:r>
      <w:r>
        <w:rPr>
          <w:vertAlign w:val="superscript"/>
        </w:rPr>
        <w:t>nd</w:t>
      </w:r>
      <w:r>
        <w:rPr>
          <w:lang w:val="nl-NL"/>
        </w:rPr>
        <w:t xml:space="preserve"> Floor Auditorium</w:t>
      </w:r>
    </w:p>
    <w:p w:rsidR="003E64CC" w:rsidRDefault="000657C2">
      <w:pPr>
        <w:pStyle w:val="BodyA"/>
        <w:jc w:val="center"/>
      </w:pPr>
      <w:r>
        <w:t>109 Front Street, Winchendon, MA 01475</w:t>
      </w:r>
    </w:p>
    <w:p w:rsidR="003E64CC" w:rsidRDefault="003E64CC">
      <w:pPr>
        <w:pStyle w:val="BodyA"/>
        <w:jc w:val="center"/>
      </w:pPr>
    </w:p>
    <w:p w:rsidR="003E64CC" w:rsidRDefault="000657C2">
      <w:pPr>
        <w:pStyle w:val="BodyA"/>
      </w:pPr>
      <w:r>
        <w:rPr>
          <w:b/>
          <w:bCs/>
        </w:rPr>
        <w:t>PRESENT:</w:t>
      </w:r>
      <w:r>
        <w:t xml:space="preserve">    </w:t>
      </w:r>
      <w:r>
        <w:tab/>
        <w:t xml:space="preserve">Kyle </w:t>
      </w:r>
      <w:r>
        <w:t>Bradley, Melissa Blanchard, Lionel Cloutier, David Whitaker</w:t>
      </w:r>
    </w:p>
    <w:p w:rsidR="003E64CC" w:rsidRDefault="000657C2">
      <w:pPr>
        <w:pStyle w:val="BodyA"/>
      </w:pPr>
      <w:r>
        <w:tab/>
      </w:r>
      <w:r>
        <w:tab/>
        <w:t>Matt Marro- Conservation Agent</w:t>
      </w:r>
    </w:p>
    <w:p w:rsidR="003E64CC" w:rsidRDefault="003E64CC">
      <w:pPr>
        <w:pStyle w:val="BodyA"/>
      </w:pPr>
    </w:p>
    <w:p w:rsidR="003E64CC" w:rsidRDefault="000657C2">
      <w:pPr>
        <w:pStyle w:val="BodyA"/>
      </w:pPr>
      <w:r>
        <w:rPr>
          <w:b/>
          <w:bCs/>
        </w:rPr>
        <w:t>ABSENT:</w:t>
      </w:r>
      <w:r>
        <w:rPr>
          <w:b/>
          <w:bCs/>
        </w:rPr>
        <w:tab/>
      </w:r>
      <w:r>
        <w:t>Glenn LaRochelle</w:t>
      </w:r>
    </w:p>
    <w:p w:rsidR="003E64CC" w:rsidRDefault="003E64CC">
      <w:pPr>
        <w:pStyle w:val="BodyA"/>
        <w:ind w:left="900" w:hanging="900"/>
      </w:pPr>
    </w:p>
    <w:p w:rsidR="003E64CC" w:rsidRDefault="000657C2">
      <w:pPr>
        <w:pStyle w:val="BodyAA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 xml:space="preserve">CALL TO ORDER: </w:t>
      </w:r>
      <w:r>
        <w:rPr>
          <w:rFonts w:ascii="Cambria" w:hAnsi="Cambria"/>
        </w:rPr>
        <w:t>K. Bradley called the meeting to order at 6:00PM</w:t>
      </w:r>
    </w:p>
    <w:p w:rsidR="003E64CC" w:rsidRDefault="003E64CC">
      <w:pPr>
        <w:pStyle w:val="BodyAA"/>
        <w:rPr>
          <w:rFonts w:ascii="Cambria" w:eastAsia="Cambria" w:hAnsi="Cambria" w:cs="Cambria"/>
        </w:rPr>
      </w:pPr>
    </w:p>
    <w:p w:rsidR="003E64CC" w:rsidRDefault="000657C2">
      <w:pPr>
        <w:pStyle w:val="BodyA"/>
      </w:pPr>
      <w:r>
        <w:rPr>
          <w:b/>
          <w:bCs/>
        </w:rPr>
        <w:t xml:space="preserve">Certificate of Compliance Request: </w:t>
      </w:r>
      <w:r>
        <w:t>34 Pinewood Drive</w:t>
      </w:r>
    </w:p>
    <w:p w:rsidR="003E64CC" w:rsidRDefault="000657C2">
      <w:pPr>
        <w:pStyle w:val="BodyA"/>
      </w:pPr>
      <w:r>
        <w:t>M. Marro, Conserva</w:t>
      </w:r>
      <w:r>
        <w:t xml:space="preserve">tion Agent, confirmed the compliance. </w:t>
      </w:r>
    </w:p>
    <w:p w:rsidR="003E64CC" w:rsidRDefault="003E64CC">
      <w:pPr>
        <w:pStyle w:val="BodyA"/>
      </w:pPr>
    </w:p>
    <w:p w:rsidR="003E64CC" w:rsidRDefault="000657C2">
      <w:pPr>
        <w:pStyle w:val="BodyA"/>
      </w:pPr>
      <w:r>
        <w:t xml:space="preserve">L. Cloutier motioned to approve the certificate of compliance request for 34 Pinewood Drive, 2nd by </w:t>
      </w:r>
    </w:p>
    <w:p w:rsidR="003E64CC" w:rsidRDefault="000657C2">
      <w:pPr>
        <w:pStyle w:val="BodyA"/>
      </w:pPr>
      <w:r>
        <w:t>M. Blanchard</w:t>
      </w:r>
    </w:p>
    <w:p w:rsidR="003E64CC" w:rsidRDefault="000657C2">
      <w:pPr>
        <w:pStyle w:val="BodyAA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Blanchard (Y) Cloutier (Y) Whitaker (Y) Bradley (Y) 4-0</w:t>
      </w:r>
    </w:p>
    <w:p w:rsidR="003E64CC" w:rsidRDefault="003E64CC">
      <w:pPr>
        <w:pStyle w:val="BodyAA"/>
        <w:rPr>
          <w:rFonts w:ascii="Cambria" w:eastAsia="Cambria" w:hAnsi="Cambria" w:cs="Cambria"/>
        </w:rPr>
      </w:pPr>
    </w:p>
    <w:p w:rsidR="003E64CC" w:rsidRDefault="000657C2">
      <w:pPr>
        <w:pStyle w:val="BodyAA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 xml:space="preserve">MINUTES: </w:t>
      </w:r>
      <w:r>
        <w:rPr>
          <w:rFonts w:ascii="Cambria" w:hAnsi="Cambria"/>
        </w:rPr>
        <w:t>12/15/22</w:t>
      </w:r>
    </w:p>
    <w:p w:rsidR="003E64CC" w:rsidRDefault="000657C2">
      <w:pPr>
        <w:pStyle w:val="BodyA"/>
      </w:pPr>
      <w:r>
        <w:t xml:space="preserve">L. Cloutier motioned to </w:t>
      </w:r>
      <w:r>
        <w:t>approve the minutes of 12/15/22 as presented, 2nd by M. Blanchard</w:t>
      </w:r>
    </w:p>
    <w:p w:rsidR="003E64CC" w:rsidRDefault="000657C2">
      <w:pPr>
        <w:pStyle w:val="BodyAA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Blanchard (Y) Cloutier (Y) Whitaker (Y) Bradley (Y) 4-0</w:t>
      </w:r>
    </w:p>
    <w:p w:rsidR="003E64CC" w:rsidRDefault="003E64CC">
      <w:pPr>
        <w:pStyle w:val="BodyAA"/>
        <w:rPr>
          <w:rFonts w:ascii="Cambria" w:eastAsia="Cambria" w:hAnsi="Cambria" w:cs="Cambria"/>
          <w:b/>
          <w:bCs/>
        </w:rPr>
      </w:pPr>
    </w:p>
    <w:p w:rsidR="003E64CC" w:rsidRDefault="000657C2">
      <w:pPr>
        <w:pStyle w:val="BodyAA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ANNOUNCEMENTS &amp; PUBLIC COMMENT: </w:t>
      </w:r>
      <w:r>
        <w:rPr>
          <w:rFonts w:ascii="Cambria" w:hAnsi="Cambria"/>
        </w:rPr>
        <w:t xml:space="preserve">The continued hearing for 16 Second Street would be continued again to the next meeting as requested </w:t>
      </w:r>
      <w:r>
        <w:rPr>
          <w:rFonts w:ascii="Cambria" w:hAnsi="Cambria"/>
        </w:rPr>
        <w:t>by the applicant, as he was still working on revising the plans.</w:t>
      </w:r>
    </w:p>
    <w:p w:rsidR="003E64CC" w:rsidRDefault="003E64CC">
      <w:pPr>
        <w:pStyle w:val="BodyAA"/>
        <w:rPr>
          <w:rFonts w:ascii="Cambria" w:eastAsia="Cambria" w:hAnsi="Cambria" w:cs="Cambria"/>
          <w:b/>
          <w:bCs/>
        </w:rPr>
      </w:pPr>
    </w:p>
    <w:p w:rsidR="003E64CC" w:rsidRDefault="000657C2">
      <w:pPr>
        <w:pStyle w:val="BodyAA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HEARINGS:</w:t>
      </w:r>
    </w:p>
    <w:p w:rsidR="003E64CC" w:rsidRDefault="000657C2">
      <w:pPr>
        <w:pStyle w:val="BodyA"/>
        <w:rPr>
          <w:b/>
          <w:bCs/>
        </w:rPr>
      </w:pPr>
      <w:r>
        <w:rPr>
          <w:b/>
          <w:bCs/>
        </w:rPr>
        <w:t>6:10PM</w:t>
      </w:r>
      <w:r>
        <w:rPr>
          <w:b/>
          <w:bCs/>
        </w:rPr>
        <w:tab/>
        <w:t>Notice of Intent (NOI)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DEP #345-0766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E64CC" w:rsidRDefault="000657C2">
      <w:pPr>
        <w:pStyle w:val="BodyA"/>
        <w:rPr>
          <w:b/>
          <w:bCs/>
        </w:rPr>
      </w:pPr>
      <w:r>
        <w:rPr>
          <w:b/>
          <w:bCs/>
        </w:rPr>
        <w:t xml:space="preserve">Applicant: </w:t>
      </w:r>
      <w:r>
        <w:t>John and Susan Davies</w:t>
      </w:r>
    </w:p>
    <w:p w:rsidR="003E64CC" w:rsidRDefault="000657C2">
      <w:pPr>
        <w:pStyle w:val="BodyA"/>
        <w:rPr>
          <w:b/>
          <w:bCs/>
        </w:rPr>
      </w:pPr>
      <w:r>
        <w:rPr>
          <w:b/>
          <w:bCs/>
        </w:rPr>
        <w:t xml:space="preserve">Project Address: </w:t>
      </w:r>
      <w:r>
        <w:t>226 Monomonac Road East</w:t>
      </w:r>
      <w:r>
        <w:tab/>
      </w:r>
      <w:r>
        <w:tab/>
      </w:r>
    </w:p>
    <w:p w:rsidR="003E64CC" w:rsidRDefault="000657C2">
      <w:pPr>
        <w:pStyle w:val="BodyA"/>
      </w:pPr>
      <w:r>
        <w:rPr>
          <w:b/>
          <w:bCs/>
        </w:rPr>
        <w:t xml:space="preserve">Project Description: </w:t>
      </w:r>
      <w:r>
        <w:t>The proposed work includes repla</w:t>
      </w:r>
      <w:r>
        <w:t xml:space="preserve">cement of timber retaining walls with modular block retaining walls along the shoreline of Lake Monomonac wall is within the 100 foot buffer zone. </w:t>
      </w:r>
    </w:p>
    <w:p w:rsidR="003E64CC" w:rsidRDefault="003E64CC">
      <w:pPr>
        <w:pStyle w:val="BodyA"/>
      </w:pPr>
    </w:p>
    <w:p w:rsidR="003E64CC" w:rsidRDefault="000657C2">
      <w:pPr>
        <w:pStyle w:val="BodyA"/>
      </w:pPr>
      <w:r>
        <w:t xml:space="preserve">Brian Marchetti, Civil Engineer with McCarty Engineering, was present on behalf of the applicants John and </w:t>
      </w:r>
      <w:r>
        <w:t xml:space="preserve">Susan Davies. M. Marro stated DEP had no comments. B. Marchetti explained the proposed work </w:t>
      </w:r>
      <w:r>
        <w:lastRenderedPageBreak/>
        <w:t>which included replacing the current timber retaining wall that is eroding with a modular block retaining wall. The wall will start at the house flush with the grad</w:t>
      </w:r>
      <w:r>
        <w:t xml:space="preserve">e and slope down to a 6 ft. retaining wall. They plan to work with a structural engineer on the plans. </w:t>
      </w:r>
    </w:p>
    <w:p w:rsidR="003E64CC" w:rsidRDefault="003E64CC">
      <w:pPr>
        <w:pStyle w:val="BodyA"/>
      </w:pPr>
    </w:p>
    <w:p w:rsidR="003E64CC" w:rsidRDefault="000657C2">
      <w:pPr>
        <w:pStyle w:val="BodyA"/>
      </w:pPr>
      <w:r>
        <w:t>L. Cloutier motioned to approve with a standard order of conditions, 2nd by D. Whitaker.</w:t>
      </w:r>
    </w:p>
    <w:p w:rsidR="003E64CC" w:rsidRDefault="000657C2">
      <w:pPr>
        <w:pStyle w:val="BodyAA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Blanchard (Y) Cloutier (Y) Whitaker (Y) Bradley (Y) 4-0</w:t>
      </w:r>
    </w:p>
    <w:p w:rsidR="003E64CC" w:rsidRDefault="003E64CC">
      <w:pPr>
        <w:pStyle w:val="BodyAA"/>
        <w:rPr>
          <w:rFonts w:ascii="Cambria" w:eastAsia="Cambria" w:hAnsi="Cambria" w:cs="Cambria"/>
          <w:b/>
          <w:bCs/>
        </w:rPr>
      </w:pPr>
    </w:p>
    <w:p w:rsidR="003E64CC" w:rsidRDefault="003E64CC">
      <w:pPr>
        <w:pStyle w:val="BodyAA"/>
        <w:rPr>
          <w:rFonts w:ascii="Cambria" w:eastAsia="Cambria" w:hAnsi="Cambria" w:cs="Cambria"/>
          <w:b/>
          <w:bCs/>
        </w:rPr>
      </w:pPr>
    </w:p>
    <w:p w:rsidR="003E64CC" w:rsidRDefault="000657C2">
      <w:pPr>
        <w:pStyle w:val="BodyA"/>
        <w:rPr>
          <w:b/>
          <w:bCs/>
        </w:rPr>
      </w:pPr>
      <w:r>
        <w:rPr>
          <w:b/>
          <w:bCs/>
        </w:rPr>
        <w:t>CONT</w:t>
      </w:r>
      <w:r>
        <w:rPr>
          <w:b/>
          <w:bCs/>
        </w:rPr>
        <w:t>INUED HEARINGS:</w:t>
      </w:r>
    </w:p>
    <w:p w:rsidR="003E64CC" w:rsidRDefault="000657C2">
      <w:pPr>
        <w:pStyle w:val="BodyA"/>
        <w:rPr>
          <w:b/>
          <w:bCs/>
        </w:rPr>
      </w:pPr>
      <w:r>
        <w:rPr>
          <w:b/>
          <w:bCs/>
        </w:rPr>
        <w:t>Notice of Intent (NOI)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DEP #345-0762</w:t>
      </w:r>
    </w:p>
    <w:p w:rsidR="003E64CC" w:rsidRDefault="000657C2">
      <w:pPr>
        <w:pStyle w:val="BodyA"/>
      </w:pPr>
      <w:r>
        <w:rPr>
          <w:b/>
          <w:bCs/>
        </w:rPr>
        <w:t xml:space="preserve">Applicant: </w:t>
      </w:r>
      <w:r>
        <w:t>Robert Matewsky</w:t>
      </w:r>
    </w:p>
    <w:p w:rsidR="003E64CC" w:rsidRDefault="000657C2">
      <w:pPr>
        <w:pStyle w:val="BodyA"/>
      </w:pPr>
      <w:r>
        <w:rPr>
          <w:b/>
          <w:bCs/>
        </w:rPr>
        <w:t xml:space="preserve">Project Address: </w:t>
      </w:r>
      <w:r>
        <w:t>16 Second Street</w:t>
      </w:r>
      <w:r>
        <w:tab/>
      </w:r>
      <w:r>
        <w:tab/>
      </w:r>
      <w:r>
        <w:tab/>
        <w:t>Assessor’s Map 7 Parcel 4</w:t>
      </w:r>
    </w:p>
    <w:p w:rsidR="003E64CC" w:rsidRDefault="000657C2">
      <w:pPr>
        <w:pStyle w:val="BodyA"/>
      </w:pPr>
      <w:r>
        <w:rPr>
          <w:b/>
          <w:bCs/>
        </w:rPr>
        <w:t xml:space="preserve">Description: </w:t>
      </w:r>
      <w:r>
        <w:t>Razing and Rebuilding the existing 3 bedroom home, installation of a new drilled well and water/ele</w:t>
      </w:r>
      <w:r>
        <w:t>ctric line</w:t>
      </w:r>
    </w:p>
    <w:p w:rsidR="003E64CC" w:rsidRDefault="003E64CC">
      <w:pPr>
        <w:pStyle w:val="BodyA"/>
      </w:pPr>
    </w:p>
    <w:p w:rsidR="003E64CC" w:rsidRDefault="000657C2">
      <w:pPr>
        <w:pStyle w:val="BodyA"/>
      </w:pPr>
      <w:r>
        <w:t>D. Whitaker motioned to continue the hearing, 2nd by L. Cloutier.</w:t>
      </w:r>
    </w:p>
    <w:p w:rsidR="003E64CC" w:rsidRDefault="000657C2">
      <w:pPr>
        <w:pStyle w:val="BodyAA"/>
      </w:pPr>
      <w:r>
        <w:rPr>
          <w:rFonts w:ascii="Cambria" w:hAnsi="Cambria"/>
          <w:b/>
          <w:bCs/>
        </w:rPr>
        <w:t>Blanchard (Y) Cloutier (Y) Whitaker (Y) Bradley (Y) 4-0</w:t>
      </w:r>
    </w:p>
    <w:p w:rsidR="003E64CC" w:rsidRDefault="003E64CC">
      <w:pPr>
        <w:pStyle w:val="BodyA"/>
      </w:pPr>
    </w:p>
    <w:p w:rsidR="003E64CC" w:rsidRDefault="003E64CC">
      <w:pPr>
        <w:pStyle w:val="BodyA"/>
      </w:pPr>
    </w:p>
    <w:p w:rsidR="003E64CC" w:rsidRDefault="000657C2">
      <w:pPr>
        <w:pStyle w:val="BodyAA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ADJOURN:</w:t>
      </w:r>
    </w:p>
    <w:p w:rsidR="003E64CC" w:rsidRDefault="000657C2">
      <w:pPr>
        <w:pStyle w:val="BodyA"/>
        <w:rPr>
          <w:b/>
          <w:bCs/>
        </w:rPr>
      </w:pPr>
      <w:r>
        <w:t>L. Cloutier motioned to adjourn, 2nd by M. Blanchard</w:t>
      </w:r>
    </w:p>
    <w:p w:rsidR="003E64CC" w:rsidRDefault="000657C2">
      <w:pPr>
        <w:pStyle w:val="BodyAA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Blanchard (Y) Cloutier (Y) Whitaker (Y) Bradley (Y) 4-0</w:t>
      </w:r>
    </w:p>
    <w:p w:rsidR="003E64CC" w:rsidRDefault="003E64CC">
      <w:pPr>
        <w:pStyle w:val="BodyA"/>
        <w:rPr>
          <w:b/>
          <w:bCs/>
        </w:rPr>
      </w:pPr>
    </w:p>
    <w:p w:rsidR="003E64CC" w:rsidRDefault="000657C2">
      <w:pPr>
        <w:pStyle w:val="BodyA"/>
        <w:rPr>
          <w:b/>
          <w:bCs/>
        </w:rPr>
      </w:pPr>
      <w:r>
        <w:rPr>
          <w:b/>
          <w:bCs/>
          <w:lang w:val="de-DE"/>
        </w:rPr>
        <w:t xml:space="preserve">ADJOURNMENT: </w:t>
      </w:r>
      <w:r>
        <w:rPr>
          <w:b/>
          <w:bCs/>
        </w:rPr>
        <w:t>6:21</w:t>
      </w:r>
      <w:r>
        <w:rPr>
          <w:b/>
          <w:bCs/>
          <w:lang w:val="de-DE"/>
        </w:rPr>
        <w:t>PM</w:t>
      </w:r>
    </w:p>
    <w:p w:rsidR="003E64CC" w:rsidRDefault="003E64CC">
      <w:pPr>
        <w:pStyle w:val="BodyA"/>
        <w:rPr>
          <w:b/>
          <w:bCs/>
        </w:rPr>
      </w:pPr>
    </w:p>
    <w:p w:rsidR="003E64CC" w:rsidRDefault="003E64CC">
      <w:pPr>
        <w:pStyle w:val="BodyA"/>
        <w:rPr>
          <w:b/>
          <w:bCs/>
        </w:rPr>
      </w:pPr>
    </w:p>
    <w:p w:rsidR="003E64CC" w:rsidRDefault="000657C2">
      <w:pPr>
        <w:pStyle w:val="BodyA"/>
      </w:pPr>
      <w:r>
        <w:t>Respectfully submitted,</w:t>
      </w:r>
    </w:p>
    <w:p w:rsidR="003E64CC" w:rsidRDefault="000657C2">
      <w:pPr>
        <w:pStyle w:val="BodyA"/>
      </w:pPr>
      <w:r>
        <w:rPr>
          <w:noProof/>
        </w:rPr>
        <w:drawing>
          <wp:inline distT="0" distB="0" distL="0" distR="0">
            <wp:extent cx="1485900" cy="392380"/>
            <wp:effectExtent l="0" t="0" r="0" b="0"/>
            <wp:docPr id="1073741826" name="officeArt object" descr="Signatur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gnature.jpeg" descr="Signatur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92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E64CC" w:rsidRDefault="000657C2">
      <w:pPr>
        <w:pStyle w:val="BodyA"/>
      </w:pPr>
      <w:r>
        <w:t>Brianna Roberts, Conservation Commission Recording Secretary</w:t>
      </w:r>
    </w:p>
    <w:p w:rsidR="003E64CC" w:rsidRDefault="003E64CC">
      <w:pPr>
        <w:pStyle w:val="BodyA"/>
      </w:pPr>
    </w:p>
    <w:p w:rsidR="003E64CC" w:rsidRDefault="003E64CC">
      <w:pPr>
        <w:pStyle w:val="BodyA"/>
      </w:pPr>
    </w:p>
    <w:p w:rsidR="003E64CC" w:rsidRDefault="003E64CC">
      <w:pPr>
        <w:pStyle w:val="BodyA"/>
      </w:pPr>
    </w:p>
    <w:p w:rsidR="003E64CC" w:rsidRDefault="000657C2">
      <w:pPr>
        <w:pStyle w:val="BodyA"/>
      </w:pPr>
      <w:bookmarkStart w:id="0" w:name="_GoBack"/>
      <w:bookmarkEnd w:id="0"/>
      <w:r>
        <w:t>____________________________________</w:t>
      </w:r>
      <w:r>
        <w:tab/>
      </w:r>
      <w:r>
        <w:tab/>
      </w:r>
      <w:r>
        <w:tab/>
        <w:t>____________________________________</w:t>
      </w:r>
    </w:p>
    <w:p w:rsidR="003E64CC" w:rsidRDefault="000657C2">
      <w:pPr>
        <w:pStyle w:val="BodyA"/>
      </w:pPr>
      <w:r>
        <w:t>Kyle Bradley, Chairman</w:t>
      </w:r>
      <w:r>
        <w:tab/>
      </w:r>
      <w:r>
        <w:tab/>
      </w:r>
      <w:r>
        <w:tab/>
      </w:r>
      <w:r>
        <w:tab/>
        <w:t>David Whitaker, Vice-Chairman</w:t>
      </w:r>
    </w:p>
    <w:p w:rsidR="003E64CC" w:rsidRDefault="003E64CC">
      <w:pPr>
        <w:pStyle w:val="BodyA"/>
      </w:pPr>
    </w:p>
    <w:p w:rsidR="003E64CC" w:rsidRDefault="003E64CC">
      <w:pPr>
        <w:pStyle w:val="BodyA"/>
      </w:pPr>
    </w:p>
    <w:p w:rsidR="003E64CC" w:rsidRDefault="003E64CC">
      <w:pPr>
        <w:pStyle w:val="BodyA"/>
      </w:pPr>
    </w:p>
    <w:p w:rsidR="003E64CC" w:rsidRDefault="003E64CC">
      <w:pPr>
        <w:pStyle w:val="BodyA"/>
      </w:pPr>
    </w:p>
    <w:p w:rsidR="003E64CC" w:rsidRDefault="000657C2">
      <w:pPr>
        <w:pStyle w:val="BodyA"/>
      </w:pPr>
      <w:r>
        <w:t xml:space="preserve">____________________________________ </w:t>
      </w:r>
      <w:r>
        <w:tab/>
      </w:r>
      <w:r>
        <w:tab/>
      </w:r>
      <w:r>
        <w:tab/>
        <w:t>____________________________________</w:t>
      </w:r>
    </w:p>
    <w:p w:rsidR="003E64CC" w:rsidRDefault="000657C2">
      <w:pPr>
        <w:pStyle w:val="BodyA"/>
      </w:pPr>
      <w:r>
        <w:t>Melissa Blanchard</w:t>
      </w:r>
      <w:r>
        <w:tab/>
      </w:r>
      <w:r>
        <w:tab/>
      </w:r>
      <w:r>
        <w:tab/>
      </w:r>
      <w:r>
        <w:tab/>
      </w:r>
      <w:r>
        <w:tab/>
        <w:t>Lionel Cloutier</w:t>
      </w:r>
    </w:p>
    <w:p w:rsidR="003E64CC" w:rsidRDefault="003E64CC">
      <w:pPr>
        <w:pStyle w:val="BodyA"/>
      </w:pPr>
    </w:p>
    <w:p w:rsidR="003E64CC" w:rsidRDefault="003E64CC">
      <w:pPr>
        <w:pStyle w:val="BodyA"/>
      </w:pPr>
    </w:p>
    <w:p w:rsidR="003E64CC" w:rsidRDefault="003E64CC">
      <w:pPr>
        <w:pStyle w:val="BodyA"/>
      </w:pPr>
    </w:p>
    <w:p w:rsidR="003E64CC" w:rsidRDefault="003E64CC">
      <w:pPr>
        <w:pStyle w:val="BodyA"/>
      </w:pPr>
    </w:p>
    <w:p w:rsidR="003E64CC" w:rsidRDefault="000657C2">
      <w:pPr>
        <w:pStyle w:val="BodyA"/>
      </w:pPr>
      <w:r>
        <w:lastRenderedPageBreak/>
        <w:t>____________________________________</w:t>
      </w:r>
    </w:p>
    <w:p w:rsidR="003E64CC" w:rsidRDefault="000657C2">
      <w:pPr>
        <w:pStyle w:val="BodyA"/>
      </w:pPr>
      <w:r>
        <w:t>Glenn LaRochelle</w:t>
      </w:r>
      <w:r>
        <w:tab/>
      </w:r>
      <w:r>
        <w:tab/>
      </w:r>
      <w:r>
        <w:tab/>
      </w:r>
      <w:r>
        <w:tab/>
      </w:r>
      <w:r>
        <w:tab/>
      </w:r>
    </w:p>
    <w:sectPr w:rsidR="003E64C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57C2">
      <w:r>
        <w:separator/>
      </w:r>
    </w:p>
  </w:endnote>
  <w:endnote w:type="continuationSeparator" w:id="0">
    <w:p w:rsidR="00000000" w:rsidRDefault="000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CC" w:rsidRDefault="000657C2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>Conservation Commission Minutes</w:t>
    </w:r>
  </w:p>
  <w:p w:rsidR="003E64CC" w:rsidRDefault="000657C2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>January 12, 2023</w:t>
    </w:r>
  </w:p>
  <w:p w:rsidR="003E64CC" w:rsidRDefault="000657C2">
    <w:pPr>
      <w:pStyle w:val="Footer"/>
      <w:ind w:right="360"/>
      <w:jc w:val="center"/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57C2">
      <w:r>
        <w:separator/>
      </w:r>
    </w:p>
  </w:footnote>
  <w:footnote w:type="continuationSeparator" w:id="0">
    <w:p w:rsidR="00000000" w:rsidRDefault="000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CC" w:rsidRDefault="003E64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CC"/>
    <w:rsid w:val="000657C2"/>
    <w:rsid w:val="003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B149"/>
  <w15:docId w15:val="{E0EE4CE0-B09E-4D99-BE86-194D1FD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Roberts</dc:creator>
  <cp:lastModifiedBy>Nicole Roberts</cp:lastModifiedBy>
  <cp:revision>2</cp:revision>
  <cp:lastPrinted>2023-02-06T13:30:00Z</cp:lastPrinted>
  <dcterms:created xsi:type="dcterms:W3CDTF">2023-02-06T13:32:00Z</dcterms:created>
  <dcterms:modified xsi:type="dcterms:W3CDTF">2023-02-06T13:32:00Z</dcterms:modified>
</cp:coreProperties>
</file>