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920" w:firstLine="0"/>
        <w:jc w:val="right"/>
      </w:pPr>
      <w:r>
        <w:rPr>
          <w:rtl w:val="0"/>
        </w:rPr>
        <w:t xml:space="preserve">Approved:           /          / </w:t>
      </w:r>
    </w:p>
    <w:p>
      <w:pPr>
        <w:pStyle w:val="Body A"/>
        <w:jc w:val="right"/>
        <w:rPr>
          <w:sz w:val="40"/>
          <w:szCs w:val="4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TOWN OF WINCHENDON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8"/>
          <w:szCs w:val="28"/>
          <w:rtl w:val="0"/>
          <w:lang w:val="fr-FR"/>
        </w:rPr>
        <w:t>Conservation Commission</w:t>
      </w:r>
      <w:r>
        <w:rPr>
          <w:rtl w:val="0"/>
        </w:rPr>
        <w:tab/>
        <w:t xml:space="preserve"> </w:t>
        <w:tab/>
        <w:t xml:space="preserve">  </w:t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tl w:val="0"/>
          <w:lang w:val="it-IT"/>
        </w:rPr>
        <w:t>Telephone (978)-297-5402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Regular Meeting/Public Hearing</w:t>
      </w:r>
    </w:p>
    <w:p>
      <w:pPr>
        <w:pStyle w:val="Body A"/>
        <w:jc w:val="center"/>
      </w:pPr>
      <w:r>
        <w:rPr>
          <w:rtl w:val="0"/>
          <w:lang w:val="en-US"/>
        </w:rPr>
        <w:t>February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, 2023</w:t>
      </w:r>
    </w:p>
    <w:p>
      <w:pPr>
        <w:pStyle w:val="Body A"/>
        <w:jc w:val="center"/>
      </w:pPr>
      <w:r>
        <w:rPr>
          <w:rtl w:val="0"/>
          <w:lang w:val="en-US"/>
        </w:rPr>
        <w:t>Town Hall 2</w:t>
      </w:r>
      <w:r>
        <w:rPr>
          <w:vertAlign w:val="superscript"/>
          <w:rtl w:val="0"/>
        </w:rPr>
        <w:t>nd</w:t>
      </w:r>
      <w:r>
        <w:rPr>
          <w:rtl w:val="0"/>
          <w:lang w:val="nl-NL"/>
        </w:rPr>
        <w:t xml:space="preserve"> Floor Auditorium</w:t>
      </w:r>
    </w:p>
    <w:p>
      <w:pPr>
        <w:pStyle w:val="Body A"/>
        <w:jc w:val="center"/>
      </w:pPr>
      <w:r>
        <w:rPr>
          <w:rtl w:val="0"/>
          <w:lang w:val="en-US"/>
        </w:rPr>
        <w:t>109 Front Street, Winchendon, MA 01475</w:t>
      </w:r>
    </w:p>
    <w:p>
      <w:pPr>
        <w:pStyle w:val="Body A"/>
        <w:jc w:val="center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PRESENT:</w:t>
      </w:r>
      <w:r>
        <w:rPr>
          <w:rtl w:val="0"/>
          <w:lang w:val="en-US"/>
        </w:rPr>
        <w:t xml:space="preserve">    </w:t>
        <w:tab/>
        <w:t>Kyle Bradley, Melissa Blanchard, Lionel Cloutier, David Whitaker</w:t>
      </w:r>
    </w:p>
    <w:p>
      <w:pPr>
        <w:pStyle w:val="Body A"/>
      </w:pPr>
      <w:r>
        <w:rPr>
          <w:rtl w:val="0"/>
          <w:lang w:val="en-US"/>
        </w:rPr>
        <w:tab/>
        <w:tab/>
        <w:t>Matt Marro- Conservation Agent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ABSENT:</w:t>
        <w:tab/>
      </w:r>
      <w:r>
        <w:rPr>
          <w:rtl w:val="0"/>
          <w:lang w:val="en-US"/>
        </w:rPr>
        <w:t>Glenn LaRochelle</w:t>
      </w:r>
    </w:p>
    <w:p>
      <w:pPr>
        <w:pStyle w:val="Body A"/>
        <w:ind w:left="900" w:hanging="900"/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CALL TO ORDER: </w:t>
      </w:r>
      <w:r>
        <w:rPr>
          <w:rFonts w:ascii="Cambria" w:hAnsi="Cambria"/>
          <w:rtl w:val="0"/>
          <w:lang w:val="en-US"/>
        </w:rPr>
        <w:t>K. Bradley called the meeting to order at 6:00PM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PUBLIC </w:t>
      </w:r>
      <w:r>
        <w:rPr>
          <w:rFonts w:ascii="Cambria" w:hAnsi="Cambria"/>
          <w:b w:val="1"/>
          <w:bCs w:val="1"/>
          <w:rtl w:val="0"/>
          <w:lang w:val="en-US"/>
        </w:rPr>
        <w:t>HEARINGS: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6:</w:t>
      </w:r>
      <w:r>
        <w:rPr>
          <w:b w:val="1"/>
          <w:bCs w:val="1"/>
          <w:rtl w:val="0"/>
          <w:lang w:val="en-US"/>
        </w:rPr>
        <w:t>05</w:t>
      </w:r>
      <w:r>
        <w:rPr>
          <w:b w:val="1"/>
          <w:bCs w:val="1"/>
          <w:rtl w:val="0"/>
          <w:lang w:val="en-US"/>
        </w:rPr>
        <w:t>PM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  <w:lang w:val="en-US"/>
        </w:rPr>
        <w:t>Notice of Intent (NOI)</w:t>
        <w:tab/>
        <w:tab/>
        <w:tab/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Applicant: </w:t>
      </w:r>
      <w:r>
        <w:rPr>
          <w:rtl w:val="0"/>
          <w:lang w:val="en-US"/>
        </w:rPr>
        <w:t>Andrew McCusker</w:t>
        <w:tab/>
        <w:tab/>
        <w:tab/>
        <w:tab/>
        <w:tab/>
      </w:r>
      <w:r>
        <w:rPr>
          <w:rtl w:val="0"/>
          <w:lang w:val="en-US"/>
        </w:rPr>
        <w:t>Assessor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Map 12 Parcel 33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Project Address: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76 Lakeview Drive</w:t>
      </w:r>
      <w:r>
        <w:rPr>
          <w:lang w:val="en-US"/>
        </w:rPr>
        <w:tab/>
        <w:tab/>
      </w: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Project Description: </w:t>
      </w:r>
      <w:r>
        <w:rPr>
          <w:rtl w:val="0"/>
          <w:lang w:val="en-US"/>
        </w:rPr>
        <w:t>The proposed work includes</w:t>
      </w:r>
      <w:r>
        <w:rPr>
          <w:rtl w:val="0"/>
          <w:lang w:val="en-US"/>
        </w:rPr>
        <w:t xml:space="preserve"> construction of a 12x20 foot retaining </w:t>
        <w:tab/>
        <w:tab/>
        <w:tab/>
        <w:tab/>
        <w:t>wall not at water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edge, but within the 50 foot buffer zone.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Notice of Intent (NOI)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Applicant: </w:t>
      </w:r>
      <w:r>
        <w:rPr>
          <w:rtl w:val="0"/>
          <w:lang w:val="en-US"/>
        </w:rPr>
        <w:t>Erin Hague</w:t>
        <w:tab/>
        <w:tab/>
        <w:tab/>
        <w:tab/>
        <w:tab/>
        <w:tab/>
      </w:r>
      <w:r>
        <w:rPr>
          <w:rtl w:val="0"/>
          <w:lang w:val="en-US"/>
        </w:rPr>
        <w:t>Assessor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Map 8 Parcel 4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Project Address: </w:t>
      </w:r>
      <w:r>
        <w:rPr>
          <w:rtl w:val="0"/>
          <w:lang w:val="en-US"/>
        </w:rPr>
        <w:t>96 Monomonac Road East</w:t>
      </w: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Project Description: </w:t>
      </w:r>
      <w:r>
        <w:rPr>
          <w:rtl w:val="0"/>
          <w:lang w:val="en-US"/>
        </w:rPr>
        <w:t>Reconstruction of the existing wall at the shoreline, approx. 95 foot section of wall within the 50 foot buffer zone.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M. Blanchard motioned to continue both hearings: 276 Lakeview Dr. &amp; 96 Monomonac Road East to the next meeting on March 9, 2023 at 6:05PM. 2nd by D. Whitaker.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MINUTES: </w:t>
      </w:r>
      <w:r>
        <w:rPr>
          <w:rFonts w:ascii="Cambria" w:hAnsi="Cambria"/>
          <w:b w:val="0"/>
          <w:bCs w:val="0"/>
          <w:rtl w:val="0"/>
          <w:lang w:val="en-US"/>
        </w:rPr>
        <w:t>January 12, 2023</w:t>
      </w: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0"/>
          <w:bCs w:val="0"/>
          <w:rtl w:val="0"/>
          <w:lang w:val="en-US"/>
        </w:rPr>
        <w:t>L. Cloutier motioned to approve the January 12, 2023 minutes as printed, 2nd by D. Whitaker.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NEW BUSINESS: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Certificate of Compliance:</w:t>
      </w:r>
    </w:p>
    <w:p>
      <w:pPr>
        <w:pStyle w:val="Body A A"/>
        <w:numPr>
          <w:ilvl w:val="0"/>
          <w:numId w:val="2"/>
        </w:numPr>
      </w:pPr>
      <w:r>
        <w:rPr>
          <w:rFonts w:ascii="Cambria" w:hAnsi="Cambria"/>
          <w:rtl w:val="0"/>
          <w:lang w:val="en-US"/>
        </w:rPr>
        <w:t xml:space="preserve">105 Eagle Road &amp; 5 Cardinal Lane- old order of conditions pertaining to a subdivision. 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D. Whitaker motioned to issue a certificate of compliance for both 105 Eagle Road and 5 Cardinal Lane. 2nd by L. Cloutier.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</w:rPr>
      </w:pPr>
    </w:p>
    <w:p>
      <w:pPr>
        <w:pStyle w:val="Body A A"/>
        <w:numPr>
          <w:ilvl w:val="0"/>
          <w:numId w:val="2"/>
        </w:numPr>
      </w:pPr>
      <w:r>
        <w:rPr>
          <w:rFonts w:ascii="Cambria" w:hAnsi="Cambria"/>
          <w:rtl w:val="0"/>
          <w:lang w:val="en-US"/>
        </w:rPr>
        <w:t>46 Willoughby Ave. - from 2005, replacement of a sewer line in the buffer zone.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D. Whitaker motioned to issue a certificate of compliance for 46 Willoughby Ave. 2nd by M. Blanchard.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</w:rPr>
      </w:pP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D. Whitaker motioned to issue a certificate of compliance for  Cardinal Lane. 2nd by L. Cloutier.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</w:pP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TOWN MANAGER DISCUSSION: </w:t>
      </w:r>
      <w:r>
        <w:rPr>
          <w:rFonts w:ascii="Cambria" w:hAnsi="Cambria"/>
          <w:b w:val="0"/>
          <w:bCs w:val="0"/>
          <w:rtl w:val="0"/>
          <w:lang w:val="en-US"/>
        </w:rPr>
        <w:t>NH/MA Rail Trail Connector</w:t>
      </w: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0"/>
          <w:bCs w:val="0"/>
          <w:rtl w:val="0"/>
          <w:lang w:val="en-US"/>
        </w:rPr>
        <w:t xml:space="preserve">J. Sultzbach was unable to attend the meeting but let M. Marro know a grant has been put in place and some engineering work has been completed.  </w:t>
      </w:r>
    </w:p>
    <w:p>
      <w:pPr>
        <w:pStyle w:val="Body A A"/>
        <w:rPr>
          <w:rFonts w:ascii="Cambria" w:cs="Cambria" w:hAnsi="Cambria" w:eastAsia="Cambria"/>
          <w:b w:val="0"/>
          <w:bCs w:val="0"/>
        </w:rPr>
      </w:pPr>
    </w:p>
    <w:p>
      <w:pPr>
        <w:pStyle w:val="Body A A"/>
        <w:rPr>
          <w:rFonts w:ascii="Cambria" w:cs="Cambria" w:hAnsi="Cambria" w:eastAsia="Cambria"/>
          <w:b w:val="0"/>
          <w:bCs w:val="0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COMMUNITY PRESERVATION ACT:</w:t>
      </w: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K. Bradley stated he is a member of the CPAEC- Community Preservation Act Exploratory Committee. 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D. Whitaker motioned to support the CPA. 2nd by M. Blanchard</w:t>
      </w:r>
    </w:p>
    <w:p>
      <w:pPr>
        <w:pStyle w:val="Body A A"/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ANNUAL REPORT: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M. Marro will complete the annual report. </w:t>
      </w:r>
    </w:p>
    <w:p>
      <w:pPr>
        <w:pStyle w:val="Body A"/>
      </w:pPr>
    </w:p>
    <w:p>
      <w:pPr>
        <w:pStyle w:val="Body A"/>
        <w:rPr>
          <w:lang w:val="en-US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ADJOURN:</w:t>
      </w: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>L. Cloutier motioned to adjourn, 2nd by M. Blanchard</w:t>
      </w: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Blanchard (Y) Cloutier (Y) Whitaker (Y) Bradley (Y) 4-0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ADJOURNMENT: </w:t>
      </w:r>
      <w:r>
        <w:rPr>
          <w:b w:val="1"/>
          <w:bCs w:val="1"/>
          <w:rtl w:val="0"/>
          <w:lang w:val="en-US"/>
        </w:rPr>
        <w:t>6:2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de-DE"/>
        </w:rPr>
        <w:t>PM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Respectfully submitted,</w:t>
      </w:r>
    </w:p>
    <w:p>
      <w:pPr>
        <w:pStyle w:val="Body A"/>
      </w:pPr>
      <w:r>
        <w:drawing xmlns:a="http://schemas.openxmlformats.org/drawingml/2006/main"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rtl w:val="0"/>
          <w:lang w:val="en-US"/>
        </w:rPr>
        <w:t>Brianna Roberts, Conservation Commission Recording Secretary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Kyle Bradley, Chairman</w:t>
        <w:tab/>
        <w:tab/>
        <w:tab/>
        <w:tab/>
        <w:t>David Whitaker, Vice-Chairman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____________________________________ 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Melissa Blanchard</w:t>
        <w:tab/>
        <w:tab/>
        <w:tab/>
        <w:tab/>
        <w:tab/>
        <w:t>Lionel Cloutier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____________________________________</w:t>
      </w:r>
    </w:p>
    <w:p>
      <w:pPr>
        <w:pStyle w:val="Body A"/>
      </w:pPr>
      <w:r>
        <w:rPr>
          <w:rtl w:val="0"/>
          <w:lang w:val="en-US"/>
        </w:rPr>
        <w:t>Glenn LaRochelle</w:t>
        <w:tab/>
        <w:tab/>
        <w:tab/>
        <w:tab/>
        <w:tab/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Conservation Commission Minutes</w:t>
    </w:r>
  </w:p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February 9, 2023</w:t>
    </w:r>
  </w:p>
  <w:p>
    <w:pPr>
      <w:pStyle w:val="footer"/>
      <w:ind w:right="360"/>
      <w:jc w:val="center"/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